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F5C" w:rsidRDefault="00FB26CA">
      <w:pPr>
        <w:widowControl/>
        <w:adjustRightInd w:val="0"/>
        <w:snapToGrid w:val="0"/>
        <w:spacing w:beforeLines="50" w:before="156" w:line="360" w:lineRule="auto"/>
        <w:jc w:val="center"/>
        <w:rPr>
          <w:rStyle w:val="aa"/>
          <w:rFonts w:ascii="黑体" w:eastAsia="黑体" w:hAnsi="黑体" w:cs="宋体"/>
          <w:b w:val="0"/>
          <w:kern w:val="0"/>
          <w:sz w:val="28"/>
          <w:szCs w:val="28"/>
        </w:rPr>
      </w:pPr>
      <w:r>
        <w:rPr>
          <w:rStyle w:val="aa"/>
          <w:rFonts w:ascii="黑体" w:eastAsia="黑体" w:hAnsi="黑体" w:cs="宋体" w:hint="eastAsia"/>
          <w:b w:val="0"/>
          <w:kern w:val="0"/>
          <w:sz w:val="28"/>
          <w:szCs w:val="28"/>
        </w:rPr>
        <w:t>新疆银行“金胡杨”净值型人民币理财产品协议书</w:t>
      </w:r>
    </w:p>
    <w:p w:rsidR="00145F5C" w:rsidRDefault="00FB26CA">
      <w:pPr>
        <w:widowControl/>
        <w:adjustRightInd w:val="0"/>
        <w:snapToGrid w:val="0"/>
        <w:spacing w:beforeLines="50" w:before="156" w:line="360" w:lineRule="auto"/>
        <w:jc w:val="center"/>
        <w:rPr>
          <w:rStyle w:val="aa"/>
          <w:rFonts w:ascii="黑体" w:eastAsia="黑体" w:hAnsi="黑体" w:cs="宋体"/>
          <w:b w:val="0"/>
          <w:kern w:val="0"/>
          <w:sz w:val="28"/>
          <w:szCs w:val="28"/>
        </w:rPr>
      </w:pPr>
      <w:r>
        <w:rPr>
          <w:rStyle w:val="aa"/>
          <w:rFonts w:ascii="宋体" w:hAnsi="宋体" w:cs="宋体" w:hint="eastAsia"/>
          <w:kern w:val="0"/>
          <w:sz w:val="18"/>
          <w:szCs w:val="18"/>
        </w:rPr>
        <w:t>理财产品过往业绩不代表其未来表现，不等于理财产品实际收益</w:t>
      </w:r>
      <w:r>
        <w:rPr>
          <w:rStyle w:val="aa"/>
          <w:rFonts w:cs="宋体"/>
          <w:bCs w:val="0"/>
          <w:sz w:val="18"/>
          <w:szCs w:val="18"/>
        </w:rPr>
        <w:t xml:space="preserve"> </w:t>
      </w:r>
    </w:p>
    <w:p w:rsidR="00145F5C" w:rsidRDefault="00FB26CA">
      <w:pPr>
        <w:widowControl/>
        <w:spacing w:line="400" w:lineRule="exact"/>
        <w:jc w:val="center"/>
        <w:rPr>
          <w:rStyle w:val="aa"/>
          <w:rFonts w:ascii="宋体" w:hAnsi="宋体" w:cs="宋体"/>
          <w:kern w:val="0"/>
          <w:sz w:val="18"/>
          <w:szCs w:val="18"/>
        </w:rPr>
      </w:pPr>
      <w:r>
        <w:rPr>
          <w:rStyle w:val="aa"/>
          <w:rFonts w:ascii="宋体" w:hAnsi="宋体" w:cs="宋体" w:hint="eastAsia"/>
          <w:kern w:val="0"/>
          <w:sz w:val="18"/>
          <w:szCs w:val="18"/>
        </w:rPr>
        <w:t>理财非存款、产品有风险、投资须谨慎</w:t>
      </w:r>
    </w:p>
    <w:p w:rsidR="00145F5C" w:rsidRDefault="00FB26CA">
      <w:pPr>
        <w:widowControl/>
        <w:adjustRightInd w:val="0"/>
        <w:snapToGrid w:val="0"/>
        <w:spacing w:beforeLines="50" w:before="156" w:line="360" w:lineRule="auto"/>
        <w:ind w:firstLine="570"/>
        <w:jc w:val="left"/>
        <w:rPr>
          <w:rStyle w:val="aa"/>
          <w:rFonts w:asciiTheme="minorEastAsia" w:eastAsiaTheme="minorEastAsia" w:hAnsiTheme="minorEastAsia" w:cs="宋体"/>
          <w:b w:val="0"/>
          <w:kern w:val="0"/>
          <w:szCs w:val="21"/>
        </w:rPr>
      </w:pPr>
      <w:r>
        <w:rPr>
          <w:rStyle w:val="aa"/>
          <w:rFonts w:asciiTheme="minorEastAsia" w:eastAsiaTheme="minorEastAsia" w:hAnsiTheme="minorEastAsia" w:cs="宋体" w:hint="eastAsia"/>
          <w:b w:val="0"/>
          <w:kern w:val="0"/>
          <w:szCs w:val="21"/>
        </w:rPr>
        <w:t>甲方（投资者）自愿购买乙方（银行）发行的理财产品，经双方协商一致，签订本协议。本协议为规范甲乙双方在理财业务中权利和义务的法律文件。</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5"/>
        <w:gridCol w:w="875"/>
        <w:gridCol w:w="371"/>
        <w:gridCol w:w="1245"/>
        <w:gridCol w:w="200"/>
        <w:gridCol w:w="854"/>
        <w:gridCol w:w="219"/>
        <w:gridCol w:w="486"/>
        <w:gridCol w:w="713"/>
        <w:gridCol w:w="46"/>
        <w:gridCol w:w="1367"/>
        <w:gridCol w:w="18"/>
        <w:gridCol w:w="1106"/>
        <w:gridCol w:w="1217"/>
      </w:tblGrid>
      <w:tr w:rsidR="00145F5C">
        <w:trPr>
          <w:trHeight w:val="270"/>
        </w:trPr>
        <w:tc>
          <w:tcPr>
            <w:tcW w:w="9962" w:type="dxa"/>
            <w:gridSpan w:val="14"/>
            <w:tcBorders>
              <w:bottom w:val="single" w:sz="4" w:space="0" w:color="000000"/>
            </w:tcBorders>
            <w:shd w:val="clear" w:color="auto" w:fill="3399FF"/>
          </w:tcPr>
          <w:p w:rsidR="00145F5C" w:rsidRDefault="00FB26CA">
            <w:pPr>
              <w:widowControl/>
              <w:jc w:val="center"/>
              <w:rPr>
                <w:rFonts w:asciiTheme="minorEastAsia" w:eastAsiaTheme="minorEastAsia" w:hAnsiTheme="minorEastAsia" w:cs="宋体"/>
                <w:b/>
                <w:color w:val="000000"/>
                <w:kern w:val="0"/>
                <w:sz w:val="22"/>
              </w:rPr>
            </w:pPr>
            <w:r>
              <w:rPr>
                <w:rFonts w:asciiTheme="minorEastAsia" w:eastAsiaTheme="minorEastAsia" w:hAnsiTheme="minorEastAsia" w:cs="宋体" w:hint="eastAsia"/>
                <w:b/>
                <w:color w:val="000000"/>
                <w:kern w:val="0"/>
                <w:sz w:val="22"/>
              </w:rPr>
              <w:t>一、基本信息</w:t>
            </w:r>
          </w:p>
        </w:tc>
      </w:tr>
      <w:tr w:rsidR="00145F5C">
        <w:trPr>
          <w:trHeight w:val="270"/>
        </w:trPr>
        <w:tc>
          <w:tcPr>
            <w:tcW w:w="9962" w:type="dxa"/>
            <w:gridSpan w:val="14"/>
            <w:tcBorders>
              <w:bottom w:val="single" w:sz="4" w:space="0" w:color="000000"/>
            </w:tcBorders>
            <w:shd w:val="clear" w:color="auto" w:fill="3399FF"/>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甲方基本信息（投资者基本信息）</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9962" w:type="dxa"/>
            <w:gridSpan w:val="14"/>
            <w:tcBorders>
              <w:top w:val="single" w:sz="4" w:space="0" w:color="000000"/>
              <w:left w:val="single" w:sz="4" w:space="0" w:color="000000"/>
              <w:right w:val="single" w:sz="4" w:space="0" w:color="000000"/>
            </w:tcBorders>
            <w:shd w:val="clear" w:color="auto" w:fill="3399FF"/>
          </w:tcPr>
          <w:p w:rsidR="00145F5C" w:rsidRDefault="00FB26CA">
            <w:pPr>
              <w:jc w:val="center"/>
              <w:rPr>
                <w:rFonts w:asciiTheme="minorEastAsia" w:eastAsiaTheme="minorEastAsia" w:hAnsiTheme="minorEastAsia" w:cs="宋体"/>
                <w:b/>
                <w:color w:val="000000"/>
                <w:kern w:val="0"/>
                <w:sz w:val="22"/>
              </w:rPr>
            </w:pPr>
            <w:r>
              <w:rPr>
                <w:rFonts w:asciiTheme="minorEastAsia" w:eastAsiaTheme="minorEastAsia" w:hAnsiTheme="minorEastAsia" w:cs="宋体" w:hint="eastAsia"/>
                <w:b/>
                <w:color w:val="000000"/>
                <w:kern w:val="0"/>
                <w:sz w:val="22"/>
              </w:rPr>
              <w:t>个人投资者填写</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姓名</w:t>
            </w:r>
          </w:p>
        </w:tc>
        <w:tc>
          <w:tcPr>
            <w:tcW w:w="1246" w:type="dxa"/>
            <w:gridSpan w:val="2"/>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245"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性别</w:t>
            </w:r>
          </w:p>
        </w:tc>
        <w:tc>
          <w:tcPr>
            <w:tcW w:w="1273" w:type="dxa"/>
            <w:gridSpan w:val="3"/>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245" w:type="dxa"/>
            <w:gridSpan w:val="3"/>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国籍</w:t>
            </w:r>
          </w:p>
        </w:tc>
        <w:tc>
          <w:tcPr>
            <w:tcW w:w="1385" w:type="dxa"/>
            <w:gridSpan w:val="2"/>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106"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职业</w:t>
            </w:r>
          </w:p>
        </w:tc>
        <w:tc>
          <w:tcPr>
            <w:tcW w:w="1217"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证件种类</w:t>
            </w:r>
          </w:p>
        </w:tc>
        <w:tc>
          <w:tcPr>
            <w:tcW w:w="1246" w:type="dxa"/>
            <w:gridSpan w:val="2"/>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245"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证件号码</w:t>
            </w:r>
          </w:p>
        </w:tc>
        <w:tc>
          <w:tcPr>
            <w:tcW w:w="2518" w:type="dxa"/>
            <w:gridSpan w:val="6"/>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385" w:type="dxa"/>
            <w:gridSpan w:val="2"/>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证件有效期</w:t>
            </w:r>
          </w:p>
        </w:tc>
        <w:tc>
          <w:tcPr>
            <w:tcW w:w="2323" w:type="dxa"/>
            <w:gridSpan w:val="2"/>
            <w:tcBorders>
              <w:top w:val="single" w:sz="4" w:space="0" w:color="000000"/>
              <w:left w:val="single" w:sz="4" w:space="0" w:color="000000"/>
              <w:right w:val="single" w:sz="4" w:space="0" w:color="000000"/>
            </w:tcBorders>
            <w:shd w:val="clear" w:color="auto" w:fill="FFFFFF" w:themeFill="background1"/>
          </w:tcPr>
          <w:p w:rsidR="00145F5C" w:rsidRDefault="00145F5C">
            <w:pPr>
              <w:jc w:val="left"/>
              <w:rPr>
                <w:rFonts w:asciiTheme="minorEastAsia" w:eastAsiaTheme="minorEastAsia" w:hAnsiTheme="minorEastAsia" w:cs="宋体"/>
                <w:color w:val="000000"/>
                <w:kern w:val="0"/>
                <w:sz w:val="22"/>
              </w:rPr>
            </w:pP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家庭地址</w:t>
            </w:r>
          </w:p>
        </w:tc>
        <w:tc>
          <w:tcPr>
            <w:tcW w:w="5009" w:type="dxa"/>
            <w:gridSpan w:val="9"/>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385" w:type="dxa"/>
            <w:gridSpan w:val="2"/>
            <w:tcBorders>
              <w:top w:val="single" w:sz="4" w:space="0" w:color="000000"/>
              <w:left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2323" w:type="dxa"/>
            <w:gridSpan w:val="2"/>
            <w:tcBorders>
              <w:top w:val="single" w:sz="4" w:space="0" w:color="000000"/>
              <w:left w:val="single" w:sz="4" w:space="0" w:color="000000"/>
              <w:right w:val="single" w:sz="4" w:space="0" w:color="000000"/>
            </w:tcBorders>
            <w:shd w:val="clear" w:color="auto" w:fill="FFFFFF" w:themeFill="background1"/>
          </w:tcPr>
          <w:p w:rsidR="00145F5C" w:rsidRDefault="00145F5C">
            <w:pPr>
              <w:jc w:val="left"/>
              <w:rPr>
                <w:rFonts w:asciiTheme="minorEastAsia" w:eastAsiaTheme="minorEastAsia" w:hAnsiTheme="minorEastAsia" w:cs="宋体"/>
                <w:color w:val="000000"/>
                <w:kern w:val="0"/>
                <w:sz w:val="22"/>
              </w:rPr>
            </w:pP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单位地址</w:t>
            </w:r>
          </w:p>
        </w:tc>
        <w:tc>
          <w:tcPr>
            <w:tcW w:w="5009"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145F5C">
            <w:pPr>
              <w:jc w:val="left"/>
              <w:rPr>
                <w:rFonts w:asciiTheme="minorEastAsia" w:eastAsiaTheme="minorEastAsia" w:hAnsiTheme="minorEastAsia" w:cs="宋体"/>
                <w:color w:val="000000"/>
                <w:kern w:val="0"/>
                <w:sz w:val="22"/>
              </w:rPr>
            </w:pPr>
          </w:p>
        </w:tc>
        <w:tc>
          <w:tcPr>
            <w:tcW w:w="138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手机号码</w:t>
            </w:r>
          </w:p>
        </w:tc>
        <w:tc>
          <w:tcPr>
            <w:tcW w:w="23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145F5C">
            <w:pPr>
              <w:jc w:val="left"/>
              <w:rPr>
                <w:rFonts w:asciiTheme="minorEastAsia" w:eastAsiaTheme="minorEastAsia" w:hAnsiTheme="minorEastAsia" w:cs="宋体"/>
                <w:color w:val="000000"/>
                <w:kern w:val="0"/>
                <w:sz w:val="22"/>
              </w:rPr>
            </w:pP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9962" w:type="dxa"/>
            <w:gridSpan w:val="14"/>
            <w:tcBorders>
              <w:top w:val="single" w:sz="4" w:space="0" w:color="000000"/>
              <w:left w:val="single" w:sz="4" w:space="0" w:color="000000"/>
              <w:bottom w:val="single" w:sz="4" w:space="0" w:color="000000"/>
              <w:right w:val="single" w:sz="4" w:space="0" w:color="000000"/>
            </w:tcBorders>
            <w:shd w:val="clear" w:color="auto" w:fill="3399FF"/>
          </w:tcPr>
          <w:p w:rsidR="00145F5C" w:rsidRDefault="00FB26CA">
            <w:pPr>
              <w:widowControl/>
              <w:jc w:val="center"/>
              <w:rPr>
                <w:rFonts w:asciiTheme="minorEastAsia" w:eastAsiaTheme="minorEastAsia" w:hAnsiTheme="minorEastAsia" w:cs="宋体"/>
                <w:b/>
                <w:color w:val="000000"/>
                <w:kern w:val="0"/>
                <w:sz w:val="22"/>
                <w:highlight w:val="cyan"/>
              </w:rPr>
            </w:pPr>
            <w:r>
              <w:rPr>
                <w:rFonts w:asciiTheme="minorEastAsia" w:eastAsiaTheme="minorEastAsia" w:hAnsiTheme="minorEastAsia" w:cs="宋体" w:hint="eastAsia"/>
                <w:b/>
                <w:color w:val="000000"/>
                <w:kern w:val="0"/>
                <w:sz w:val="22"/>
              </w:rPr>
              <w:t>单位投资者填写</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单位名称</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证件种类</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注册地址</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证件号码</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通讯地址</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证件有效期</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经办人姓名</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法定代表人姓名</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经办人证件种类</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法定代表人证件种类</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经办人证件号码</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法定代表人证件号码</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经办人证件有效期</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法定代表人证件有效期</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2341"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rPr>
          <w:trHeight w:val="270"/>
        </w:trPr>
        <w:tc>
          <w:tcPr>
            <w:tcW w:w="9962" w:type="dxa"/>
            <w:gridSpan w:val="14"/>
            <w:shd w:val="clear" w:color="auto" w:fill="3399FF"/>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乙方基本信息（银行基本信息）</w:t>
            </w:r>
          </w:p>
        </w:tc>
      </w:tr>
      <w:tr w:rsidR="00145F5C">
        <w:trPr>
          <w:trHeight w:val="270"/>
        </w:trPr>
        <w:tc>
          <w:tcPr>
            <w:tcW w:w="1245" w:type="dxa"/>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乙</w:t>
            </w: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方</w:t>
            </w:r>
          </w:p>
        </w:tc>
        <w:tc>
          <w:tcPr>
            <w:tcW w:w="8717" w:type="dxa"/>
            <w:gridSpan w:val="13"/>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新疆银行股份有限公司</w:t>
            </w:r>
            <w:r>
              <w:rPr>
                <w:rFonts w:asciiTheme="minorEastAsia" w:eastAsiaTheme="minorEastAsia" w:hAnsiTheme="minorEastAsia" w:cs="宋体" w:hint="eastAsia"/>
                <w:color w:val="000000"/>
                <w:kern w:val="0"/>
                <w:sz w:val="22"/>
                <w:u w:val="single"/>
              </w:rPr>
              <w:t xml:space="preserve">             </w:t>
            </w:r>
          </w:p>
        </w:tc>
      </w:tr>
      <w:tr w:rsidR="00145F5C">
        <w:trPr>
          <w:trHeight w:val="270"/>
        </w:trPr>
        <w:tc>
          <w:tcPr>
            <w:tcW w:w="1245" w:type="dxa"/>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联系地址</w:t>
            </w:r>
          </w:p>
        </w:tc>
        <w:tc>
          <w:tcPr>
            <w:tcW w:w="3545" w:type="dxa"/>
            <w:gridSpan w:val="5"/>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418" w:type="dxa"/>
            <w:gridSpan w:val="3"/>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邮政编码</w:t>
            </w:r>
          </w:p>
        </w:tc>
        <w:tc>
          <w:tcPr>
            <w:tcW w:w="3754" w:type="dxa"/>
            <w:gridSpan w:val="5"/>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rPr>
          <w:trHeight w:val="270"/>
        </w:trPr>
        <w:tc>
          <w:tcPr>
            <w:tcW w:w="1245" w:type="dxa"/>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3545" w:type="dxa"/>
            <w:gridSpan w:val="5"/>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418" w:type="dxa"/>
            <w:gridSpan w:val="3"/>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3754" w:type="dxa"/>
            <w:gridSpan w:val="5"/>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rPr>
          <w:trHeight w:val="270"/>
        </w:trPr>
        <w:tc>
          <w:tcPr>
            <w:tcW w:w="9962" w:type="dxa"/>
            <w:gridSpan w:val="14"/>
            <w:shd w:val="clear" w:color="auto" w:fill="3399FF"/>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业务基本信息</w:t>
            </w:r>
          </w:p>
        </w:tc>
      </w:tr>
      <w:tr w:rsidR="00145F5C">
        <w:trPr>
          <w:trHeight w:val="270"/>
        </w:trPr>
        <w:tc>
          <w:tcPr>
            <w:tcW w:w="1245" w:type="dxa"/>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业</w:t>
            </w: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务</w:t>
            </w:r>
          </w:p>
        </w:tc>
        <w:tc>
          <w:tcPr>
            <w:tcW w:w="8717" w:type="dxa"/>
            <w:gridSpan w:val="13"/>
          </w:tcPr>
          <w:p w:rsidR="00145F5C" w:rsidRDefault="00FB26CA">
            <w:pPr>
              <w:widowControl/>
              <w:jc w:val="center"/>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□购买</w:t>
            </w: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□赎回</w:t>
            </w: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□撤单</w:t>
            </w:r>
          </w:p>
        </w:tc>
      </w:tr>
      <w:tr w:rsidR="00145F5C">
        <w:trPr>
          <w:trHeight w:val="270"/>
        </w:trPr>
        <w:tc>
          <w:tcPr>
            <w:tcW w:w="1245" w:type="dxa"/>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产品名称</w:t>
            </w:r>
          </w:p>
        </w:tc>
        <w:tc>
          <w:tcPr>
            <w:tcW w:w="2691" w:type="dxa"/>
            <w:gridSpan w:val="4"/>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559" w:type="dxa"/>
            <w:gridSpan w:val="3"/>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产品代码</w:t>
            </w:r>
          </w:p>
        </w:tc>
        <w:tc>
          <w:tcPr>
            <w:tcW w:w="4467" w:type="dxa"/>
            <w:gridSpan w:val="6"/>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145F5C">
        <w:trPr>
          <w:trHeight w:val="270"/>
        </w:trPr>
        <w:tc>
          <w:tcPr>
            <w:tcW w:w="1245" w:type="dxa"/>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交易币种</w:t>
            </w:r>
          </w:p>
        </w:tc>
        <w:tc>
          <w:tcPr>
            <w:tcW w:w="2691" w:type="dxa"/>
            <w:gridSpan w:val="4"/>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559" w:type="dxa"/>
            <w:gridSpan w:val="3"/>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交易金额</w:t>
            </w:r>
          </w:p>
        </w:tc>
        <w:tc>
          <w:tcPr>
            <w:tcW w:w="4467" w:type="dxa"/>
            <w:gridSpan w:val="6"/>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大写：</w:t>
            </w:r>
            <w:r>
              <w:rPr>
                <w:rFonts w:asciiTheme="minorEastAsia" w:eastAsiaTheme="minorEastAsia" w:hAnsiTheme="minorEastAsia" w:cs="宋体" w:hint="eastAsia"/>
                <w:color w:val="000000"/>
                <w:kern w:val="0"/>
                <w:sz w:val="22"/>
              </w:rPr>
              <w:t xml:space="preserve">                  </w:t>
            </w:r>
          </w:p>
        </w:tc>
      </w:tr>
      <w:tr w:rsidR="00145F5C">
        <w:tc>
          <w:tcPr>
            <w:tcW w:w="1245" w:type="dxa"/>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卡</w:t>
            </w:r>
            <w:r>
              <w:rPr>
                <w:rFonts w:asciiTheme="minorEastAsia" w:eastAsiaTheme="minorEastAsia" w:hAnsiTheme="minorEastAsia" w:cs="宋体" w:hint="eastAsia"/>
                <w:color w:val="000000"/>
                <w:kern w:val="0"/>
                <w:sz w:val="22"/>
              </w:rPr>
              <w:t>/</w:t>
            </w:r>
            <w:r>
              <w:rPr>
                <w:rFonts w:asciiTheme="minorEastAsia" w:eastAsiaTheme="minorEastAsia" w:hAnsiTheme="minorEastAsia" w:cs="宋体" w:hint="eastAsia"/>
                <w:color w:val="000000"/>
                <w:kern w:val="0"/>
                <w:sz w:val="22"/>
              </w:rPr>
              <w:t>账号</w:t>
            </w:r>
          </w:p>
        </w:tc>
        <w:tc>
          <w:tcPr>
            <w:tcW w:w="2691" w:type="dxa"/>
            <w:gridSpan w:val="4"/>
            <w:tcBorders>
              <w:bottom w:val="single" w:sz="4" w:space="0" w:color="000000"/>
            </w:tcBorders>
          </w:tcPr>
          <w:p w:rsidR="00145F5C" w:rsidRDefault="00145F5C">
            <w:pPr>
              <w:widowControl/>
              <w:jc w:val="left"/>
              <w:rPr>
                <w:rFonts w:asciiTheme="minorEastAsia" w:eastAsiaTheme="minorEastAsia" w:hAnsiTheme="minorEastAsia" w:cs="宋体"/>
                <w:color w:val="000000"/>
                <w:kern w:val="0"/>
                <w:sz w:val="22"/>
              </w:rPr>
            </w:pPr>
          </w:p>
        </w:tc>
        <w:tc>
          <w:tcPr>
            <w:tcW w:w="1559" w:type="dxa"/>
            <w:gridSpan w:val="3"/>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交易份额</w:t>
            </w:r>
          </w:p>
        </w:tc>
        <w:tc>
          <w:tcPr>
            <w:tcW w:w="4467" w:type="dxa"/>
            <w:gridSpan w:val="6"/>
            <w:tcBorders>
              <w:bottom w:val="single" w:sz="4" w:space="0" w:color="000000"/>
            </w:tcBorders>
          </w:tcPr>
          <w:p w:rsidR="00145F5C" w:rsidRDefault="00FB26CA">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大写：</w:t>
            </w:r>
          </w:p>
        </w:tc>
      </w:tr>
      <w:tr w:rsidR="00145F5C">
        <w:tc>
          <w:tcPr>
            <w:tcW w:w="9962" w:type="dxa"/>
            <w:gridSpan w:val="14"/>
            <w:tcBorders>
              <w:bottom w:val="single" w:sz="4" w:space="0" w:color="000000"/>
            </w:tcBorders>
          </w:tcPr>
          <w:p w:rsidR="00145F5C" w:rsidRDefault="00FB26CA">
            <w:pPr>
              <w:widowControl/>
              <w:tabs>
                <w:tab w:val="left" w:pos="8070"/>
                <w:tab w:val="right" w:pos="8306"/>
              </w:tabs>
              <w:adjustRightInd w:val="0"/>
              <w:snapToGrid w:val="0"/>
              <w:spacing w:line="360" w:lineRule="auto"/>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 xml:space="preserve">    </w:t>
            </w:r>
            <w:r>
              <w:rPr>
                <w:rFonts w:asciiTheme="minorEastAsia" w:eastAsiaTheme="minorEastAsia" w:hAnsiTheme="minorEastAsia" w:cs="宋体" w:hint="eastAsia"/>
                <w:bCs/>
                <w:kern w:val="0"/>
                <w:szCs w:val="21"/>
              </w:rPr>
              <w:t>新疆银</w:t>
            </w:r>
            <w:r>
              <w:rPr>
                <w:rFonts w:asciiTheme="minorEastAsia" w:eastAsiaTheme="minorEastAsia" w:hAnsiTheme="minorEastAsia" w:hint="eastAsia"/>
                <w:szCs w:val="21"/>
              </w:rPr>
              <w:t>“金胡杨”净值型</w:t>
            </w:r>
            <w:r>
              <w:rPr>
                <w:rFonts w:asciiTheme="minorEastAsia" w:eastAsiaTheme="minorEastAsia" w:hAnsiTheme="minorEastAsia" w:cs="宋体" w:hint="eastAsia"/>
                <w:bCs/>
                <w:kern w:val="0"/>
                <w:szCs w:val="21"/>
              </w:rPr>
              <w:t>人民币理财产品理财合同由《风险揭示书》、《产品说明书》、《客户权益须知》、本协议书及客户签署的相关业务凭证共同组成。</w:t>
            </w:r>
          </w:p>
          <w:p w:rsidR="00145F5C" w:rsidRDefault="00FB26CA">
            <w:pPr>
              <w:widowControl/>
              <w:tabs>
                <w:tab w:val="left" w:pos="8070"/>
                <w:tab w:val="right" w:pos="8306"/>
              </w:tabs>
              <w:adjustRightInd w:val="0"/>
              <w:snapToGrid w:val="0"/>
              <w:spacing w:line="360" w:lineRule="auto"/>
              <w:ind w:firstLineChars="200" w:firstLine="42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理财产品的具体风险和要素详见《风险揭示书》、《产品说明书》和《客户权益须知》等相关文件，上述文件为本协议不可分割的组成部分。</w:t>
            </w:r>
          </w:p>
        </w:tc>
      </w:tr>
      <w:tr w:rsidR="00145F5C">
        <w:tc>
          <w:tcPr>
            <w:tcW w:w="9962" w:type="dxa"/>
            <w:gridSpan w:val="14"/>
            <w:shd w:val="clear" w:color="auto" w:fill="3399FF"/>
            <w:vAlign w:val="center"/>
          </w:tcPr>
          <w:p w:rsidR="00145F5C" w:rsidRDefault="00FB26CA">
            <w:pPr>
              <w:widowControl/>
              <w:tabs>
                <w:tab w:val="left" w:pos="8070"/>
                <w:tab w:val="right" w:pos="8306"/>
              </w:tabs>
              <w:adjustRightInd w:val="0"/>
              <w:snapToGrid w:val="0"/>
              <w:spacing w:line="360" w:lineRule="auto"/>
              <w:jc w:val="center"/>
              <w:rPr>
                <w:rFonts w:asciiTheme="minorEastAsia" w:eastAsiaTheme="minorEastAsia" w:hAnsiTheme="minorEastAsia" w:cs="宋体"/>
                <w:b/>
                <w:bCs/>
                <w:kern w:val="0"/>
                <w:szCs w:val="21"/>
              </w:rPr>
            </w:pPr>
            <w:r>
              <w:rPr>
                <w:rStyle w:val="aa"/>
                <w:rFonts w:asciiTheme="minorEastAsia" w:eastAsiaTheme="minorEastAsia" w:hAnsiTheme="minorEastAsia" w:cs="宋体" w:hint="eastAsia"/>
                <w:kern w:val="0"/>
                <w:szCs w:val="21"/>
              </w:rPr>
              <w:t>二、甲方申明与保证</w:t>
            </w:r>
          </w:p>
        </w:tc>
      </w:tr>
      <w:tr w:rsidR="00145F5C">
        <w:tc>
          <w:tcPr>
            <w:tcW w:w="9962" w:type="dxa"/>
            <w:gridSpan w:val="14"/>
            <w:tcBorders>
              <w:bottom w:val="single" w:sz="4" w:space="0" w:color="000000"/>
            </w:tcBorders>
          </w:tcPr>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（一）个人投资者申明与保证：</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bCs/>
                <w:kern w:val="0"/>
                <w:szCs w:val="21"/>
              </w:rPr>
              <w:t>1.</w:t>
            </w:r>
            <w:r>
              <w:rPr>
                <w:rFonts w:asciiTheme="minorEastAsia" w:eastAsiaTheme="minorEastAsia" w:hAnsiTheme="minorEastAsia" w:cs="宋体" w:hint="eastAsia"/>
                <w:bCs/>
                <w:kern w:val="0"/>
                <w:szCs w:val="21"/>
              </w:rPr>
              <w:t>甲方具有完全民事行为能力，以本人合法所有的资金购买理财产品；</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lastRenderedPageBreak/>
              <w:t>2.</w:t>
            </w:r>
            <w:r>
              <w:rPr>
                <w:rFonts w:asciiTheme="minorEastAsia" w:eastAsiaTheme="minorEastAsia" w:hAnsiTheme="minorEastAsia" w:cs="宋体" w:hint="eastAsia"/>
                <w:bCs/>
                <w:kern w:val="0"/>
                <w:szCs w:val="21"/>
              </w:rPr>
              <w:t>甲方为港、澳、台人士或外籍人士的，其购买理财产品的资质及资金符合相关法律法规及监管的要求；</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3.</w:t>
            </w:r>
            <w:r>
              <w:rPr>
                <w:rFonts w:asciiTheme="minorEastAsia" w:eastAsiaTheme="minorEastAsia" w:hAnsiTheme="minorEastAsia" w:cs="宋体" w:hint="eastAsia"/>
                <w:bCs/>
                <w:kern w:val="0"/>
                <w:szCs w:val="21"/>
              </w:rPr>
              <w:t>甲方已如实向乙方披露其风险承受能力状况及相关信息，并签署、确认《风险评估问卷》、《风险揭示书》；如发生可能影响其风险承受能力的情况，甲方应及时进行风险承受能力再评估；</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4.</w:t>
            </w:r>
            <w:r>
              <w:rPr>
                <w:rFonts w:asciiTheme="minorEastAsia" w:eastAsiaTheme="minorEastAsia" w:hAnsiTheme="minorEastAsia" w:cs="宋体" w:hint="eastAsia"/>
                <w:bCs/>
                <w:kern w:val="0"/>
                <w:szCs w:val="21"/>
              </w:rPr>
              <w:t>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5.</w:t>
            </w:r>
            <w:r>
              <w:rPr>
                <w:rFonts w:asciiTheme="minorEastAsia" w:eastAsiaTheme="minorEastAsia" w:hAnsiTheme="minorEastAsia" w:cs="宋体" w:hint="eastAsia"/>
                <w:bCs/>
                <w:kern w:val="0"/>
                <w:szCs w:val="21"/>
              </w:rPr>
              <w:t>乙方向甲方提供的产品分析及预测仅供参考，甲方据此做出的任何决策出于甲方自己的判断，投资决策风险由甲方自行承担。</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（二）机构投资者申明与保证</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1.</w:t>
            </w:r>
            <w:r>
              <w:rPr>
                <w:rFonts w:asciiTheme="minorEastAsia" w:eastAsiaTheme="minorEastAsia" w:hAnsiTheme="minorEastAsia" w:cs="宋体" w:hint="eastAsia"/>
                <w:bCs/>
                <w:kern w:val="0"/>
                <w:szCs w:val="21"/>
              </w:rPr>
              <w:t>甲方为依法设立的企业法人、事业法人、社会团体或其他组织，依据相应法律法规有投资理财产品的资格；</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kern w:val="0"/>
                <w:szCs w:val="21"/>
              </w:rPr>
              <w:t>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3.</w:t>
            </w:r>
            <w:r>
              <w:rPr>
                <w:rFonts w:asciiTheme="minorEastAsia" w:eastAsiaTheme="minorEastAsia" w:hAnsiTheme="minorEastAsia" w:cs="宋体" w:hint="eastAsia"/>
                <w:bCs/>
                <w:kern w:val="0"/>
                <w:szCs w:val="21"/>
              </w:rPr>
              <w:t>甲方用于购买理财产品的资金为其合</w:t>
            </w:r>
            <w:r>
              <w:rPr>
                <w:rFonts w:asciiTheme="minorEastAsia" w:eastAsiaTheme="minorEastAsia" w:hAnsiTheme="minorEastAsia" w:cs="宋体" w:hint="eastAsia"/>
                <w:bCs/>
                <w:kern w:val="0"/>
                <w:szCs w:val="21"/>
              </w:rPr>
              <w:t>法所有并具有完全的占有、使用、收益、处分权，该资金可合法投资于理财产品而不存在任何禁止或限制的情形；</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4.</w:t>
            </w:r>
            <w:r>
              <w:rPr>
                <w:rFonts w:asciiTheme="minorEastAsia" w:eastAsiaTheme="minorEastAsia" w:hAnsiTheme="minorEastAsia" w:cs="宋体" w:hint="eastAsia"/>
                <w:bCs/>
                <w:kern w:val="0"/>
                <w:szCs w:val="21"/>
              </w:rPr>
              <w:t>甲方已如实、完整地向乙方披露其风险承受能力及相关信息；</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5.</w:t>
            </w:r>
            <w:r>
              <w:rPr>
                <w:rFonts w:asciiTheme="minorEastAsia" w:eastAsiaTheme="minorEastAsia" w:hAnsiTheme="minorEastAsia" w:cs="宋体" w:hint="eastAsia"/>
                <w:bCs/>
                <w:kern w:val="0"/>
                <w:szCs w:val="21"/>
              </w:rPr>
              <w:t>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w:t>
            </w:r>
            <w:r>
              <w:rPr>
                <w:rFonts w:asciiTheme="minorEastAsia" w:eastAsiaTheme="minorEastAsia" w:hAnsiTheme="minorEastAsia" w:cs="宋体" w:hint="eastAsia"/>
                <w:bCs/>
                <w:kern w:val="0"/>
                <w:szCs w:val="21"/>
              </w:rPr>
              <w:t>财产品可能出现的各种风险，愿意并能够承担这些风险；</w:t>
            </w:r>
          </w:p>
          <w:p w:rsidR="00145F5C" w:rsidRDefault="00FB26CA">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6.</w:t>
            </w:r>
            <w:r>
              <w:rPr>
                <w:rFonts w:asciiTheme="minorEastAsia" w:eastAsiaTheme="minorEastAsia" w:hAnsiTheme="minorEastAsia" w:cs="宋体" w:hint="eastAsia"/>
                <w:bCs/>
                <w:kern w:val="0"/>
                <w:szCs w:val="21"/>
              </w:rPr>
              <w:t>乙方向甲方提供的产品分析及预测仅供参考，甲方据此做出的任何决策出于甲方自己的判断，投资决策风险由甲方自行承担。</w:t>
            </w:r>
          </w:p>
        </w:tc>
      </w:tr>
      <w:tr w:rsidR="00145F5C">
        <w:tc>
          <w:tcPr>
            <w:tcW w:w="9962" w:type="dxa"/>
            <w:gridSpan w:val="14"/>
            <w:shd w:val="clear" w:color="auto" w:fill="3399FF"/>
          </w:tcPr>
          <w:p w:rsidR="00145F5C" w:rsidRDefault="00FB26CA">
            <w:pPr>
              <w:widowControl/>
              <w:tabs>
                <w:tab w:val="left" w:pos="8070"/>
                <w:tab w:val="right" w:pos="8306"/>
              </w:tabs>
              <w:adjustRightInd w:val="0"/>
              <w:snapToGrid w:val="0"/>
              <w:spacing w:line="360" w:lineRule="auto"/>
              <w:jc w:val="center"/>
              <w:rPr>
                <w:rFonts w:asciiTheme="minorEastAsia" w:eastAsiaTheme="minorEastAsia" w:hAnsiTheme="minorEastAsia" w:cs="宋体"/>
                <w:b/>
                <w:bCs/>
                <w:kern w:val="0"/>
                <w:szCs w:val="21"/>
              </w:rPr>
            </w:pPr>
            <w:r>
              <w:rPr>
                <w:rStyle w:val="aa"/>
                <w:rFonts w:asciiTheme="minorEastAsia" w:eastAsiaTheme="minorEastAsia" w:hAnsiTheme="minorEastAsia" w:cs="宋体" w:hint="eastAsia"/>
                <w:kern w:val="0"/>
                <w:szCs w:val="21"/>
              </w:rPr>
              <w:lastRenderedPageBreak/>
              <w:t>三、风险提示</w:t>
            </w:r>
          </w:p>
        </w:tc>
      </w:tr>
      <w:tr w:rsidR="00145F5C">
        <w:tc>
          <w:tcPr>
            <w:tcW w:w="9962" w:type="dxa"/>
            <w:gridSpan w:val="14"/>
            <w:tcBorders>
              <w:bottom w:val="single" w:sz="4" w:space="0" w:color="000000"/>
            </w:tcBorders>
          </w:tcPr>
          <w:p w:rsidR="00145F5C" w:rsidRDefault="00FB26CA">
            <w:pPr>
              <w:widowControl/>
              <w:tabs>
                <w:tab w:val="left" w:pos="8070"/>
                <w:tab w:val="right" w:pos="8306"/>
              </w:tabs>
              <w:adjustRightInd w:val="0"/>
              <w:snapToGrid w:val="0"/>
              <w:spacing w:line="360" w:lineRule="auto"/>
              <w:ind w:firstLine="4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rsidR="00145F5C" w:rsidRDefault="00FB26CA">
            <w:pPr>
              <w:widowControl/>
              <w:tabs>
                <w:tab w:val="left" w:pos="8070"/>
                <w:tab w:val="right" w:pos="8306"/>
              </w:tabs>
              <w:adjustRightInd w:val="0"/>
              <w:snapToGrid w:val="0"/>
              <w:spacing w:line="360" w:lineRule="auto"/>
              <w:ind w:firstLine="4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非保本浮动收益净值型理财产品：不保证甲方理财资金本金和收益，甲方可能会蒙受不同程度的损失（包括不同程度本金损失），甲方应充分认识投资风险，谨慎投资。</w:t>
            </w:r>
          </w:p>
          <w:p w:rsidR="00145F5C" w:rsidRDefault="00FB26CA">
            <w:pPr>
              <w:widowControl/>
              <w:tabs>
                <w:tab w:val="left" w:pos="8070"/>
                <w:tab w:val="right" w:pos="8306"/>
              </w:tabs>
              <w:adjustRightInd w:val="0"/>
              <w:snapToGrid w:val="0"/>
              <w:spacing w:line="360" w:lineRule="auto"/>
              <w:ind w:firstLine="4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理财产品业绩表现将随市场波动，具有不确定性，业绩比较基准仅供甲方参考，不构成新疆银行对产品实际投资收益率的承诺或担保，客户的实际收益由产品净值决定。</w:t>
            </w:r>
          </w:p>
        </w:tc>
      </w:tr>
      <w:tr w:rsidR="00145F5C">
        <w:tc>
          <w:tcPr>
            <w:tcW w:w="9962" w:type="dxa"/>
            <w:gridSpan w:val="14"/>
            <w:shd w:val="clear" w:color="auto" w:fill="3399FF"/>
          </w:tcPr>
          <w:p w:rsidR="00145F5C" w:rsidRDefault="00FB26CA">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a"/>
                <w:rFonts w:asciiTheme="minorEastAsia" w:eastAsiaTheme="minorEastAsia" w:hAnsiTheme="minorEastAsia" w:cs="宋体" w:hint="eastAsia"/>
                <w:kern w:val="0"/>
                <w:szCs w:val="21"/>
              </w:rPr>
              <w:t>四、双方权利与义务</w:t>
            </w:r>
          </w:p>
        </w:tc>
      </w:tr>
      <w:tr w:rsidR="00145F5C">
        <w:tc>
          <w:tcPr>
            <w:tcW w:w="9962" w:type="dxa"/>
            <w:gridSpan w:val="14"/>
            <w:tcBorders>
              <w:bottom w:val="single" w:sz="4" w:space="0" w:color="000000"/>
            </w:tcBorders>
          </w:tcPr>
          <w:p w:rsidR="00145F5C" w:rsidRDefault="00FB26CA">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甲方有权依照理财产品合同约定获取理财收益，在约定的投资期内，理财资金本金不另计存款利息。</w:t>
            </w:r>
          </w:p>
          <w:p w:rsidR="00145F5C" w:rsidRDefault="00FB26CA">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w:t>
            </w:r>
            <w:r>
              <w:rPr>
                <w:rFonts w:asciiTheme="minorEastAsia" w:eastAsiaTheme="minorEastAsia" w:hAnsiTheme="minorEastAsia" w:hint="eastAsia"/>
                <w:szCs w:val="21"/>
              </w:rPr>
              <w:t xml:space="preserve"> 2.</w:t>
            </w:r>
            <w:r>
              <w:rPr>
                <w:rFonts w:asciiTheme="minorEastAsia" w:eastAsiaTheme="minorEastAsia" w:hAnsiTheme="minorEastAsia" w:hint="eastAsia"/>
                <w:szCs w:val="21"/>
              </w:rPr>
              <w:t>甲方有权充分了解理财产品合同的条款以及可能发生的风险，充分了解理财产品的管理、运用、处分及收支情况，并有权要求乙方按照有关程序做出说明。</w:t>
            </w:r>
          </w:p>
          <w:p w:rsidR="00145F5C" w:rsidRDefault="00FB26CA">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3.</w:t>
            </w:r>
            <w:r>
              <w:rPr>
                <w:rFonts w:asciiTheme="minorEastAsia" w:eastAsiaTheme="minorEastAsia" w:hAnsiTheme="minorEastAsia" w:hint="eastAsia"/>
                <w:szCs w:val="21"/>
              </w:rPr>
              <w:t>甲方有义务保证理财资金的来源合法，购买理财产品的行为符合法律法规、监管规定及国家政策。</w:t>
            </w:r>
          </w:p>
          <w:p w:rsidR="00145F5C" w:rsidRDefault="00FB26CA">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4.</w:t>
            </w:r>
            <w:r>
              <w:rPr>
                <w:rFonts w:asciiTheme="minorEastAsia" w:eastAsiaTheme="minorEastAsia" w:hAnsiTheme="minorEastAsia" w:hint="eastAsia"/>
                <w:szCs w:val="21"/>
              </w:rPr>
              <w:t>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rsidR="00145F5C" w:rsidRDefault="00FB26CA">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5.</w:t>
            </w:r>
            <w:r>
              <w:rPr>
                <w:rFonts w:asciiTheme="minorEastAsia" w:eastAsiaTheme="minorEastAsia" w:hAnsiTheme="minorEastAsia" w:hint="eastAsia"/>
                <w:szCs w:val="21"/>
              </w:rPr>
              <w:t>甲方有义务在其资金账户（下称“甲方资金账户”）</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中预留足额的认</w:t>
            </w:r>
            <w:r>
              <w:rPr>
                <w:rFonts w:asciiTheme="minorEastAsia" w:eastAsiaTheme="minorEastAsia" w:hAnsiTheme="minorEastAsia" w:hint="eastAsia"/>
                <w:szCs w:val="21"/>
              </w:rPr>
              <w:t>/</w:t>
            </w:r>
            <w:r>
              <w:rPr>
                <w:rFonts w:asciiTheme="minorEastAsia" w:eastAsiaTheme="minorEastAsia" w:hAnsiTheme="minorEastAsia" w:hint="eastAsia"/>
                <w:szCs w:val="21"/>
              </w:rPr>
              <w:t>申购资金，并按照理财产品合同和乙方业务规则办理认</w:t>
            </w:r>
            <w:r>
              <w:rPr>
                <w:rFonts w:asciiTheme="minorEastAsia" w:eastAsiaTheme="minorEastAsia" w:hAnsiTheme="minorEastAsia" w:hint="eastAsia"/>
                <w:szCs w:val="21"/>
              </w:rPr>
              <w:t>/</w:t>
            </w:r>
            <w:r>
              <w:rPr>
                <w:rFonts w:asciiTheme="minorEastAsia" w:eastAsiaTheme="minorEastAsia" w:hAnsiTheme="minorEastAsia" w:hint="eastAsia"/>
                <w:szCs w:val="21"/>
              </w:rPr>
              <w:t>申购、赎回、转让理财产品，缴纳认</w:t>
            </w:r>
            <w:r>
              <w:rPr>
                <w:rFonts w:asciiTheme="minorEastAsia" w:eastAsiaTheme="minorEastAsia" w:hAnsiTheme="minorEastAsia" w:hint="eastAsia"/>
                <w:szCs w:val="21"/>
              </w:rPr>
              <w:t>/</w:t>
            </w:r>
            <w:r>
              <w:rPr>
                <w:rFonts w:asciiTheme="minorEastAsia" w:eastAsiaTheme="minorEastAsia" w:hAnsiTheme="minorEastAsia" w:hint="eastAsia"/>
                <w:szCs w:val="21"/>
              </w:rPr>
              <w:t>申购、赎回、转让相关费用。如因甲方资金账户冻结、挂失、换卡、销户、长期不动户、变更或其他甲方原因导致理财认</w:t>
            </w:r>
            <w:r>
              <w:rPr>
                <w:rFonts w:asciiTheme="minorEastAsia" w:eastAsiaTheme="minorEastAsia" w:hAnsiTheme="minorEastAsia" w:hint="eastAsia"/>
                <w:szCs w:val="21"/>
              </w:rPr>
              <w:t>/</w:t>
            </w:r>
            <w:r>
              <w:rPr>
                <w:rFonts w:asciiTheme="minorEastAsia" w:eastAsiaTheme="minorEastAsia" w:hAnsiTheme="minorEastAsia" w:hint="eastAsia"/>
                <w:szCs w:val="21"/>
              </w:rPr>
              <w:t>申购、赎回、转让等行为无效的，乙方不承担责任。</w:t>
            </w:r>
          </w:p>
          <w:p w:rsidR="00145F5C" w:rsidRDefault="00FB26CA">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hint="eastAsia"/>
                <w:szCs w:val="21"/>
              </w:rPr>
              <w:t>甲方有义务在理财产品到期日前，不提前支取本金、收益或要求乙方提前退还被扣划款项，且不得将甲方用于购买理财产品或返还本金、收益的资金账户销户。</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对于风险评级为</w:t>
            </w:r>
            <w:r>
              <w:rPr>
                <w:rFonts w:asciiTheme="minorEastAsia" w:eastAsiaTheme="minorEastAsia" w:hAnsiTheme="minorEastAsia" w:hint="eastAsia"/>
                <w:szCs w:val="21"/>
              </w:rPr>
              <w:t>R4</w:t>
            </w:r>
            <w:r>
              <w:rPr>
                <w:rFonts w:asciiTheme="minorEastAsia" w:eastAsiaTheme="minorEastAsia" w:hAnsiTheme="minorEastAsia" w:hint="eastAsia"/>
                <w:szCs w:val="21"/>
              </w:rPr>
              <w:t>（含）以上的理财产品的</w:t>
            </w:r>
            <w:r>
              <w:rPr>
                <w:rFonts w:asciiTheme="minorEastAsia" w:eastAsiaTheme="minorEastAsia" w:hAnsiTheme="minorEastAsia" w:hint="eastAsia"/>
                <w:szCs w:val="21"/>
              </w:rPr>
              <w:t>交易，甲方愿意选择以下任意一种方式进行，并按照乙方相关业务规则处理：（</w:t>
            </w:r>
            <w:r>
              <w:rPr>
                <w:rFonts w:asciiTheme="minorEastAsia" w:eastAsiaTheme="minorEastAsia" w:hAnsiTheme="minorEastAsia" w:hint="eastAsia"/>
                <w:szCs w:val="21"/>
              </w:rPr>
              <w:t>1</w:t>
            </w:r>
            <w:r>
              <w:rPr>
                <w:rFonts w:asciiTheme="minorEastAsia" w:eastAsiaTheme="minorEastAsia" w:hAnsiTheme="minorEastAsia" w:hint="eastAsia"/>
                <w:szCs w:val="21"/>
              </w:rPr>
              <w:t>）在乙方网点进行；（</w:t>
            </w:r>
            <w:r>
              <w:rPr>
                <w:rFonts w:asciiTheme="minorEastAsia" w:eastAsiaTheme="minorEastAsia" w:hAnsiTheme="minorEastAsia" w:hint="eastAsia"/>
                <w:szCs w:val="21"/>
              </w:rPr>
              <w:t>2</w:t>
            </w:r>
            <w:r>
              <w:rPr>
                <w:rFonts w:asciiTheme="minorEastAsia" w:eastAsiaTheme="minorEastAsia" w:hAnsiTheme="minorEastAsia" w:hint="eastAsia"/>
                <w:szCs w:val="21"/>
              </w:rPr>
              <w:t>）在乙方网点外的其他渠道</w:t>
            </w:r>
            <w:r>
              <w:rPr>
                <w:rFonts w:asciiTheme="minorEastAsia" w:eastAsiaTheme="minorEastAsia" w:hAnsiTheme="minorEastAsia" w:hint="eastAsia"/>
                <w:szCs w:val="21"/>
              </w:rPr>
              <w:t>(</w:t>
            </w:r>
            <w:r>
              <w:rPr>
                <w:rFonts w:asciiTheme="minorEastAsia" w:eastAsiaTheme="minorEastAsia" w:hAnsiTheme="minorEastAsia" w:hint="eastAsia"/>
                <w:szCs w:val="21"/>
              </w:rPr>
              <w:t>包括但不限于网上银行、</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手机银行等渠道</w:t>
            </w:r>
            <w:r>
              <w:rPr>
                <w:rFonts w:asciiTheme="minorEastAsia" w:eastAsiaTheme="minorEastAsia" w:hAnsiTheme="minorEastAsia" w:hint="eastAsia"/>
                <w:szCs w:val="21"/>
              </w:rPr>
              <w:t>)</w:t>
            </w:r>
            <w:r>
              <w:rPr>
                <w:rFonts w:asciiTheme="minorEastAsia" w:eastAsiaTheme="minorEastAsia" w:hAnsiTheme="minorEastAsia"/>
                <w:szCs w:val="21"/>
              </w:rPr>
              <w:t xml:space="preserve"> </w:t>
            </w:r>
            <w:r>
              <w:rPr>
                <w:rFonts w:asciiTheme="minorEastAsia" w:eastAsiaTheme="minorEastAsia" w:hAnsiTheme="minorEastAsia" w:hint="eastAsia"/>
                <w:szCs w:val="21"/>
              </w:rPr>
              <w:t>进行。</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hint="eastAsia"/>
                <w:szCs w:val="21"/>
              </w:rPr>
              <w:t>乙方有权确定理财产品的销售渠道（包括但不限于网点柜台、网上银行、手机银行）及其覆盖范围，并及时通知甲方。</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9.</w:t>
            </w:r>
            <w:r>
              <w:rPr>
                <w:rFonts w:asciiTheme="minorEastAsia" w:eastAsiaTheme="minorEastAsia" w:hAnsiTheme="minorEastAsia" w:hint="eastAsia"/>
                <w:szCs w:val="21"/>
              </w:rPr>
              <w:t>乙方有权依据理财产品合同独立对理财资金进行投资管理，并可委托经相关监管机构批准或认可的其他金融机构对理财资金进行投资管理。</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10.</w:t>
            </w:r>
            <w:r>
              <w:rPr>
                <w:rFonts w:asciiTheme="minorEastAsia" w:eastAsiaTheme="minorEastAsia" w:hAnsiTheme="minorEastAsia" w:hint="eastAsia"/>
                <w:szCs w:val="21"/>
              </w:rPr>
              <w:t>乙方有权从甲方资金账户扣划本协议项下理财产品相应认</w:t>
            </w:r>
            <w:r>
              <w:rPr>
                <w:rFonts w:asciiTheme="minorEastAsia" w:eastAsiaTheme="minorEastAsia" w:hAnsiTheme="minorEastAsia" w:hint="eastAsia"/>
                <w:szCs w:val="21"/>
              </w:rPr>
              <w:t>/</w:t>
            </w:r>
            <w:r>
              <w:rPr>
                <w:rFonts w:asciiTheme="minorEastAsia" w:eastAsiaTheme="minorEastAsia" w:hAnsiTheme="minorEastAsia" w:hint="eastAsia"/>
                <w:szCs w:val="21"/>
              </w:rPr>
              <w:t>申购资金等理财款项；</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除非双方另有书面约定，在</w:t>
            </w:r>
            <w:r>
              <w:rPr>
                <w:rFonts w:asciiTheme="minorEastAsia" w:eastAsiaTheme="minorEastAsia" w:hAnsiTheme="minorEastAsia" w:hint="eastAsia"/>
                <w:szCs w:val="21"/>
              </w:rPr>
              <w:t>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乙方有权依据理财产品合同决定理财资金本金和收益分配方案；乙方有权向甲方收取一定的理财产品管理费、销售费、托管费等相关费用，具体收费项目、条件、方式和标准详见《产品说明书》。</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12.</w:t>
            </w:r>
            <w:r>
              <w:rPr>
                <w:rFonts w:asciiTheme="minorEastAsia" w:eastAsiaTheme="minorEastAsia" w:hAnsiTheme="minorEastAsia" w:hint="eastAsia"/>
                <w:szCs w:val="21"/>
              </w:rPr>
              <w:t>认购期满，如募集资金未达到《产品说明书》所规定的规模下限，乙方有权终止该理财产品或相应延长认购期；如提前达</w:t>
            </w:r>
            <w:r>
              <w:rPr>
                <w:rFonts w:asciiTheme="minorEastAsia" w:eastAsiaTheme="minorEastAsia" w:hAnsiTheme="minorEastAsia" w:hint="eastAsia"/>
                <w:szCs w:val="21"/>
              </w:rPr>
              <w:t>到《产品说明书》所规定的募集金额上限，乙方有权提前结束认购并相应调整理财产品起息日和到期日。</w:t>
            </w:r>
            <w:r>
              <w:rPr>
                <w:rFonts w:asciiTheme="minorEastAsia" w:eastAsiaTheme="minorEastAsia" w:hAnsiTheme="minorEastAsia" w:hint="eastAsia"/>
                <w:szCs w:val="21"/>
              </w:rPr>
              <w:t xml:space="preserve"> </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13.</w:t>
            </w:r>
            <w:r>
              <w:rPr>
                <w:rFonts w:asciiTheme="minorEastAsia" w:eastAsiaTheme="minorEastAsia" w:hAnsiTheme="minorEastAsia" w:hint="eastAsia"/>
                <w:szCs w:val="21"/>
              </w:rPr>
              <w:t>乙方依约定将理财的本金及收益划入甲方资金账户，即视为向甲方完成支付义务。</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14.</w:t>
            </w:r>
            <w:r>
              <w:rPr>
                <w:rFonts w:asciiTheme="minorEastAsia" w:eastAsiaTheme="minorEastAsia" w:hAnsiTheme="minorEastAsia" w:hint="eastAsia"/>
                <w:szCs w:val="21"/>
              </w:rPr>
              <w:t>乙方有义务根据恪守信用、勤勉尽责的原则管理和运用理财产品财产，维护甲方利益。</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15.</w:t>
            </w:r>
            <w:r>
              <w:rPr>
                <w:rFonts w:asciiTheme="minorEastAsia" w:eastAsiaTheme="minorEastAsia" w:hAnsiTheme="minorEastAsia" w:hint="eastAsia"/>
                <w:szCs w:val="21"/>
              </w:rPr>
              <w:t>乙方有义务按照《产品说明书》的约定在相应渠道上披露理财产品相关信息。</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16.</w:t>
            </w:r>
            <w:r>
              <w:rPr>
                <w:rFonts w:asciiTheme="minorEastAsia" w:eastAsiaTheme="minorEastAsia" w:hAnsiTheme="minorEastAsia" w:hint="eastAsia"/>
                <w:szCs w:val="21"/>
              </w:rPr>
              <w:t>除另有约定外，乙方不负责代扣代缴甲方应缴纳的税款。</w:t>
            </w:r>
          </w:p>
          <w:p w:rsidR="00145F5C" w:rsidRDefault="00FB26CA">
            <w:pPr>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17.</w:t>
            </w:r>
            <w:r>
              <w:rPr>
                <w:rFonts w:asciiTheme="minorEastAsia" w:eastAsiaTheme="minorEastAsia" w:hAnsiTheme="minorEastAsia" w:hint="eastAsia"/>
                <w:szCs w:val="21"/>
              </w:rPr>
              <w:t>甲、乙双方对本协议及其条款负有保密义务。除法律法规、监管规定另有要求外，未经一方书面认可，另一方不得向任何组织、</w:t>
            </w:r>
            <w:r>
              <w:rPr>
                <w:rFonts w:asciiTheme="minorEastAsia" w:eastAsiaTheme="minorEastAsia" w:hAnsiTheme="minorEastAsia" w:hint="eastAsia"/>
                <w:szCs w:val="21"/>
              </w:rPr>
              <w:t>个人提供或泄露与对方有关的资料和信息</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145F5C" w:rsidRDefault="00FB26CA">
            <w:pPr>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甲方知晓并同意：乙方根据适用的法律法规、监管规定对投资者及持有的理财产品的相关信息进行登记，并传输给银行业理财登记托管中心。</w:t>
            </w:r>
          </w:p>
          <w:p w:rsidR="00145F5C" w:rsidRDefault="00FB26CA">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18.</w:t>
            </w:r>
            <w:r>
              <w:rPr>
                <w:rFonts w:asciiTheme="minorEastAsia" w:eastAsiaTheme="minorEastAsia" w:hAnsiTheme="minorEastAsia" w:hint="eastAsia"/>
                <w:szCs w:val="21"/>
              </w:rPr>
              <w:t>法律法规、监管规定和理财产品合同规定的其他权利和义务。</w:t>
            </w:r>
          </w:p>
        </w:tc>
      </w:tr>
      <w:tr w:rsidR="00145F5C">
        <w:tc>
          <w:tcPr>
            <w:tcW w:w="9962" w:type="dxa"/>
            <w:gridSpan w:val="14"/>
            <w:shd w:val="clear" w:color="auto" w:fill="3399FF"/>
          </w:tcPr>
          <w:p w:rsidR="00145F5C" w:rsidRDefault="00FB26CA">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a"/>
                <w:rFonts w:asciiTheme="minorEastAsia" w:eastAsiaTheme="minorEastAsia" w:hAnsiTheme="minorEastAsia" w:cs="宋体" w:hint="eastAsia"/>
                <w:kern w:val="0"/>
                <w:szCs w:val="21"/>
              </w:rPr>
              <w:lastRenderedPageBreak/>
              <w:t>五、违约责任与争议处理</w:t>
            </w:r>
          </w:p>
        </w:tc>
      </w:tr>
      <w:tr w:rsidR="00145F5C">
        <w:tc>
          <w:tcPr>
            <w:tcW w:w="9962" w:type="dxa"/>
            <w:gridSpan w:val="14"/>
            <w:tcBorders>
              <w:bottom w:val="single" w:sz="4" w:space="0" w:color="000000"/>
            </w:tcBorders>
          </w:tcPr>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一方不能履行或不能完全履行理财产品合同的，应承担违约责任。</w:t>
            </w:r>
          </w:p>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rsidR="00145F5C">
        <w:tc>
          <w:tcPr>
            <w:tcW w:w="9962" w:type="dxa"/>
            <w:gridSpan w:val="14"/>
            <w:shd w:val="clear" w:color="auto" w:fill="3399FF"/>
          </w:tcPr>
          <w:p w:rsidR="00145F5C" w:rsidRDefault="00FB26CA">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a"/>
                <w:rFonts w:asciiTheme="minorEastAsia" w:eastAsiaTheme="minorEastAsia" w:hAnsiTheme="minorEastAsia" w:cs="宋体" w:hint="eastAsia"/>
                <w:kern w:val="0"/>
                <w:szCs w:val="21"/>
              </w:rPr>
              <w:t>六、协议的签署和生效</w:t>
            </w:r>
          </w:p>
        </w:tc>
      </w:tr>
      <w:tr w:rsidR="00145F5C">
        <w:tc>
          <w:tcPr>
            <w:tcW w:w="9962" w:type="dxa"/>
            <w:gridSpan w:val="14"/>
            <w:tcBorders>
              <w:bottom w:val="single" w:sz="4" w:space="0" w:color="000000"/>
            </w:tcBorders>
          </w:tcPr>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甲方为个人投资者的，本协议经甲方签字，乙方盖章后生效；甲方为机构投资者的，本协议经甲方法定代表人或授权代理人签章并加盖法人公章，乙方盖章后生效；</w:t>
            </w:r>
          </w:p>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Style w:val="aa"/>
                <w:rFonts w:asciiTheme="minorEastAsia" w:eastAsiaTheme="minorEastAsia" w:hAnsiTheme="minorEastAsia" w:cs="宋体" w:hint="eastAsia"/>
                <w:b w:val="0"/>
                <w:kern w:val="0"/>
                <w:szCs w:val="21"/>
              </w:rPr>
              <w:t xml:space="preserve"> </w:t>
            </w:r>
            <w:r>
              <w:rPr>
                <w:rStyle w:val="aa"/>
                <w:rFonts w:asciiTheme="minorEastAsia" w:eastAsiaTheme="minorEastAsia" w:hAnsiTheme="minorEastAsia" w:cs="宋体" w:hint="eastAsia"/>
                <w:b w:val="0"/>
                <w:kern w:val="0"/>
                <w:szCs w:val="21"/>
              </w:rPr>
              <w:t>若甲方通过乙方电子渠道（包括但不限于网上银行、手机银行等）购买，则本协议经甲方确认并经乙方销售系统确认成交之日起生效。</w:t>
            </w:r>
          </w:p>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除《产品说明书》约定的提前终止情形外，甲方有违约行为或甲方资金账户被有权机关冻结、扣划时，乙方有权提前终止本合同，且乙方不承担任何责任。</w:t>
            </w:r>
          </w:p>
          <w:p w:rsidR="00145F5C" w:rsidRDefault="00FB26CA">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本协议一式两份，具有同等法律效力，甲乙双方各执一份。</w:t>
            </w:r>
          </w:p>
        </w:tc>
      </w:tr>
      <w:tr w:rsidR="00145F5C">
        <w:tc>
          <w:tcPr>
            <w:tcW w:w="9962" w:type="dxa"/>
            <w:gridSpan w:val="14"/>
            <w:shd w:val="clear" w:color="auto" w:fill="3399FF"/>
          </w:tcPr>
          <w:p w:rsidR="00145F5C" w:rsidRDefault="00FB26CA">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a"/>
                <w:rFonts w:asciiTheme="minorEastAsia" w:eastAsiaTheme="minorEastAsia" w:hAnsiTheme="minorEastAsia" w:cs="宋体" w:hint="eastAsia"/>
                <w:kern w:val="0"/>
                <w:szCs w:val="21"/>
              </w:rPr>
              <w:t>协议签署</w:t>
            </w:r>
          </w:p>
        </w:tc>
      </w:tr>
      <w:tr w:rsidR="00145F5C">
        <w:trPr>
          <w:trHeight w:val="6794"/>
        </w:trPr>
        <w:tc>
          <w:tcPr>
            <w:tcW w:w="9962" w:type="dxa"/>
            <w:gridSpan w:val="14"/>
          </w:tcPr>
          <w:p w:rsidR="00145F5C" w:rsidRDefault="00FB26CA">
            <w:pPr>
              <w:widowControl/>
              <w:tabs>
                <w:tab w:val="left" w:pos="0"/>
              </w:tabs>
              <w:adjustRightInd w:val="0"/>
              <w:snapToGrid w:val="0"/>
              <w:spacing w:line="360" w:lineRule="auto"/>
              <w:jc w:val="left"/>
              <w:rPr>
                <w:rFonts w:asciiTheme="minorEastAsia" w:eastAsiaTheme="minorEastAsia" w:hAnsiTheme="minorEastAsia"/>
                <w:b/>
                <w:szCs w:val="21"/>
              </w:rPr>
            </w:pPr>
            <w:bookmarkStart w:id="0" w:name="_GoBack"/>
            <w:bookmarkEnd w:id="0"/>
            <w:r>
              <w:rPr>
                <w:rFonts w:asciiTheme="minorEastAsia" w:eastAsiaTheme="minorEastAsia" w:hAnsiTheme="minorEastAsia" w:hint="eastAsia"/>
                <w:b/>
                <w:szCs w:val="21"/>
              </w:rPr>
              <w:lastRenderedPageBreak/>
              <w:t>甲方声明：</w:t>
            </w:r>
          </w:p>
          <w:p w:rsidR="00145F5C" w:rsidRDefault="00FB26CA">
            <w:pPr>
              <w:widowControl/>
              <w:tabs>
                <w:tab w:val="left" w:pos="0"/>
              </w:tabs>
              <w:adjustRightInd w:val="0"/>
              <w:snapToGri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rsidR="00145F5C" w:rsidRDefault="00FB26CA">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rsidR="00145F5C" w:rsidRDefault="00145F5C">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p>
          <w:p w:rsidR="00145F5C" w:rsidRDefault="00FB26CA">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u w:val="single"/>
              </w:rPr>
            </w:pPr>
            <w:r>
              <w:rPr>
                <w:rFonts w:asciiTheme="minorEastAsia" w:eastAsiaTheme="minorEastAsia" w:hAnsiTheme="minorEastAsia" w:hint="eastAsia"/>
                <w:b/>
                <w:szCs w:val="21"/>
              </w:rPr>
              <w:t>甲方：</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乙方：新疆银行股份有限公司</w:t>
            </w:r>
            <w:r>
              <w:rPr>
                <w:rFonts w:asciiTheme="minorEastAsia" w:eastAsiaTheme="minorEastAsia" w:hAnsiTheme="minorEastAsia" w:hint="eastAsia"/>
                <w:b/>
                <w:szCs w:val="21"/>
                <w:u w:val="single"/>
              </w:rPr>
              <w:t xml:space="preserve">            </w:t>
            </w:r>
          </w:p>
          <w:p w:rsidR="00145F5C" w:rsidRDefault="00145F5C">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p>
          <w:p w:rsidR="00145F5C" w:rsidRDefault="00FB26CA">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法定代表人</w:t>
            </w:r>
            <w:r>
              <w:rPr>
                <w:rFonts w:asciiTheme="minorEastAsia" w:eastAsiaTheme="minorEastAsia" w:hAnsiTheme="minorEastAsia" w:hint="eastAsia"/>
                <w:b/>
                <w:szCs w:val="21"/>
              </w:rPr>
              <w:t>/</w:t>
            </w:r>
            <w:r>
              <w:rPr>
                <w:rFonts w:asciiTheme="minorEastAsia" w:eastAsiaTheme="minorEastAsia" w:hAnsiTheme="minorEastAsia" w:hint="eastAsia"/>
                <w:b/>
                <w:szCs w:val="21"/>
              </w:rPr>
              <w:t>授权代理人：</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理财经理：</w:t>
            </w:r>
          </w:p>
          <w:p w:rsidR="00145F5C" w:rsidRDefault="00145F5C">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p>
          <w:p w:rsidR="00145F5C" w:rsidRDefault="00FB26CA">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日期：</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理财经理证书编号：</w:t>
            </w:r>
          </w:p>
          <w:p w:rsidR="00145F5C" w:rsidRDefault="00145F5C">
            <w:pPr>
              <w:widowControl/>
              <w:tabs>
                <w:tab w:val="left" w:pos="0"/>
              </w:tabs>
              <w:adjustRightInd w:val="0"/>
              <w:snapToGrid w:val="0"/>
              <w:spacing w:line="360" w:lineRule="auto"/>
              <w:ind w:firstLineChars="2554" w:firstLine="5384"/>
              <w:jc w:val="left"/>
              <w:rPr>
                <w:rFonts w:asciiTheme="minorEastAsia" w:eastAsiaTheme="minorEastAsia" w:hAnsiTheme="minorEastAsia"/>
                <w:b/>
                <w:szCs w:val="21"/>
              </w:rPr>
            </w:pPr>
          </w:p>
          <w:p w:rsidR="00145F5C" w:rsidRDefault="00FB26CA">
            <w:pPr>
              <w:widowControl/>
              <w:tabs>
                <w:tab w:val="left" w:pos="0"/>
              </w:tabs>
              <w:adjustRightInd w:val="0"/>
              <w:snapToGrid w:val="0"/>
              <w:spacing w:line="360" w:lineRule="auto"/>
              <w:ind w:firstLineChars="2507" w:firstLine="5285"/>
              <w:jc w:val="left"/>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日期：</w:t>
            </w:r>
            <w:r>
              <w:rPr>
                <w:rFonts w:asciiTheme="minorEastAsia" w:eastAsiaTheme="minorEastAsia" w:hAnsiTheme="minorEastAsia" w:hint="eastAsia"/>
                <w:b/>
                <w:szCs w:val="21"/>
              </w:rPr>
              <w:t xml:space="preserve"> </w:t>
            </w:r>
          </w:p>
          <w:p w:rsidR="00145F5C" w:rsidRDefault="00145F5C">
            <w:pPr>
              <w:widowControl/>
              <w:tabs>
                <w:tab w:val="left" w:pos="0"/>
              </w:tabs>
              <w:adjustRightInd w:val="0"/>
              <w:snapToGrid w:val="0"/>
              <w:spacing w:line="360" w:lineRule="auto"/>
              <w:jc w:val="left"/>
              <w:rPr>
                <w:rFonts w:asciiTheme="minorEastAsia" w:eastAsiaTheme="minorEastAsia" w:hAnsiTheme="minorEastAsia"/>
                <w:b/>
                <w:szCs w:val="21"/>
              </w:rPr>
            </w:pPr>
          </w:p>
        </w:tc>
      </w:tr>
    </w:tbl>
    <w:p w:rsidR="00145F5C" w:rsidRDefault="00145F5C">
      <w:pPr>
        <w:spacing w:line="360" w:lineRule="auto"/>
        <w:rPr>
          <w:rFonts w:asciiTheme="minorEastAsia" w:eastAsiaTheme="minorEastAsia" w:hAnsiTheme="minorEastAsia" w:cs="宋体"/>
          <w:bCs/>
          <w:kern w:val="0"/>
          <w:szCs w:val="21"/>
        </w:rPr>
      </w:pPr>
    </w:p>
    <w:sectPr w:rsidR="00145F5C">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6CA" w:rsidRDefault="00FB26CA">
      <w:r>
        <w:separator/>
      </w:r>
    </w:p>
  </w:endnote>
  <w:endnote w:type="continuationSeparator" w:id="0">
    <w:p w:rsidR="00FB26CA" w:rsidRDefault="00FB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6CA" w:rsidRDefault="00FB26CA">
      <w:r>
        <w:separator/>
      </w:r>
    </w:p>
  </w:footnote>
  <w:footnote w:type="continuationSeparator" w:id="0">
    <w:p w:rsidR="00FB26CA" w:rsidRDefault="00FB2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F5C" w:rsidRDefault="00FB26CA">
    <w:pPr>
      <w:pStyle w:val="a7"/>
      <w:pBdr>
        <w:bottom w:val="none" w:sz="0" w:space="0" w:color="auto"/>
      </w:pBdr>
      <w:jc w:val="left"/>
    </w:pPr>
    <w:r>
      <w:rPr>
        <w:noProof/>
      </w:rP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rsidR="00145F5C" w:rsidRDefault="00145F5C">
    <w:pPr>
      <w:pStyle w:val="a7"/>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45F5C"/>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B1290"/>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26CA"/>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F56DBD1-6CA4-411F-8BD2-3D5A48D0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locked="1"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Autospacing="1" w:afterAutospacing="1"/>
      <w:jc w:val="left"/>
    </w:pPr>
    <w:rPr>
      <w:rFonts w:ascii="Calibri" w:hAnsi="Calibri"/>
      <w:kern w:val="0"/>
      <w:sz w:val="24"/>
      <w:szCs w:val="24"/>
    </w:rPr>
  </w:style>
  <w:style w:type="character" w:styleId="aa">
    <w:name w:val="Strong"/>
    <w:basedOn w:val="a0"/>
    <w:uiPriority w:val="99"/>
    <w:qFormat/>
    <w:rPr>
      <w:rFonts w:cs="Times New Roman"/>
      <w:b/>
      <w:bCs/>
    </w:rPr>
  </w:style>
  <w:style w:type="table" w:styleId="ab">
    <w:name w:val="Table Grid"/>
    <w:basedOn w:val="a1"/>
    <w:qFormat/>
    <w:lock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页眉 字符"/>
    <w:basedOn w:val="a0"/>
    <w:link w:val="a7"/>
    <w:uiPriority w:val="99"/>
    <w:qFormat/>
    <w:locked/>
    <w:rPr>
      <w:rFonts w:ascii="Times New Roman" w:hAnsi="Times New Roman" w:cs="Times New Roman"/>
      <w:sz w:val="18"/>
      <w:szCs w:val="18"/>
    </w:rPr>
  </w:style>
  <w:style w:type="character" w:customStyle="1" w:styleId="a6">
    <w:name w:val="页脚 字符"/>
    <w:basedOn w:val="a0"/>
    <w:link w:val="a5"/>
    <w:uiPriority w:val="99"/>
    <w:semiHidden/>
    <w:qFormat/>
    <w:locked/>
    <w:rPr>
      <w:rFonts w:ascii="Times New Roman" w:hAnsi="Times New Roman" w:cs="Times New Roman"/>
      <w:sz w:val="18"/>
      <w:szCs w:val="18"/>
    </w:rPr>
  </w:style>
  <w:style w:type="character" w:customStyle="1" w:styleId="a4">
    <w:name w:val="批注框文本 字符"/>
    <w:basedOn w:val="a0"/>
    <w:link w:val="a3"/>
    <w:uiPriority w:val="99"/>
    <w:semiHidden/>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D3EDEE-E0AA-4007-A6E8-F8125BC2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647</Words>
  <Characters>3692</Characters>
  <Application>Microsoft Office Word</Application>
  <DocSecurity>0</DocSecurity>
  <Lines>30</Lines>
  <Paragraphs>8</Paragraphs>
  <ScaleCrop>false</ScaleCrop>
  <Company>Microsoft</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张 鹏</cp:lastModifiedBy>
  <cp:revision>162</cp:revision>
  <cp:lastPrinted>2019-05-06T05:26:00Z</cp:lastPrinted>
  <dcterms:created xsi:type="dcterms:W3CDTF">2017-11-17T10:47:00Z</dcterms:created>
  <dcterms:modified xsi:type="dcterms:W3CDTF">2020-02-28T08:12:00Z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